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jc w:val="center"/>
        <w:rPr>
          <w:rFonts w:ascii="方正小标宋简体" w:hAnsi="宋体" w:eastAsia="方正小标宋简体" w:cs="宋体"/>
          <w:bCs/>
          <w:kern w:val="0"/>
          <w:sz w:val="40"/>
          <w:szCs w:val="36"/>
        </w:rPr>
      </w:pPr>
      <w:bookmarkStart w:id="0" w:name="_GoBack"/>
      <w:bookmarkEnd w:id="0"/>
    </w:p>
    <w:p>
      <w:pPr>
        <w:spacing w:line="560" w:lineRule="exact"/>
        <w:ind w:firstLine="0"/>
        <w:jc w:val="center"/>
        <w:rPr>
          <w:rFonts w:ascii="方正小标宋简体" w:hAnsi="宋体" w:eastAsia="方正小标宋简体" w:cs="宋体"/>
          <w:bCs/>
          <w:kern w:val="0"/>
          <w:sz w:val="44"/>
          <w:szCs w:val="36"/>
        </w:rPr>
      </w:pPr>
      <w:r>
        <w:rPr>
          <w:rFonts w:hint="eastAsia" w:ascii="方正小标宋简体" w:hAnsi="宋体" w:eastAsia="方正小标宋简体" w:cs="宋体"/>
          <w:bCs/>
          <w:kern w:val="0"/>
          <w:sz w:val="44"/>
          <w:szCs w:val="36"/>
        </w:rPr>
        <w:t>中医药传承创新工程重点中医医院</w:t>
      </w:r>
    </w:p>
    <w:p>
      <w:pPr>
        <w:spacing w:line="560" w:lineRule="exact"/>
        <w:ind w:firstLine="0"/>
        <w:jc w:val="center"/>
        <w:rPr>
          <w:rFonts w:ascii="方正小标宋简体" w:hAnsi="宋体" w:eastAsia="方正小标宋简体" w:cs="宋体"/>
          <w:bCs/>
          <w:kern w:val="0"/>
          <w:sz w:val="44"/>
          <w:szCs w:val="36"/>
        </w:rPr>
      </w:pPr>
      <w:r>
        <w:rPr>
          <w:rFonts w:hint="eastAsia" w:ascii="方正小标宋简体" w:hAnsi="宋体" w:eastAsia="方正小标宋简体" w:cs="宋体"/>
          <w:bCs/>
          <w:kern w:val="0"/>
          <w:sz w:val="44"/>
          <w:szCs w:val="36"/>
        </w:rPr>
        <w:t>中医经典病房建设与管理指南</w:t>
      </w:r>
    </w:p>
    <w:p>
      <w:pPr>
        <w:spacing w:line="560" w:lineRule="exact"/>
        <w:ind w:firstLine="0"/>
        <w:jc w:val="center"/>
        <w:rPr>
          <w:rFonts w:ascii="方正小标宋简体" w:hAnsi="宋体" w:eastAsia="方正小标宋简体" w:cs="宋体"/>
          <w:b/>
          <w:bCs/>
          <w:kern w:val="0"/>
          <w:sz w:val="36"/>
          <w:szCs w:val="36"/>
        </w:rPr>
      </w:pPr>
    </w:p>
    <w:p>
      <w:pPr>
        <w:autoSpaceDE w:val="0"/>
        <w:autoSpaceDN w:val="0"/>
        <w:adjustRightInd/>
        <w:snapToGrid/>
        <w:spacing w:line="580" w:lineRule="exact"/>
        <w:ind w:firstLine="640" w:firstLineChars="200"/>
        <w:rPr>
          <w:rFonts w:ascii="仿宋_GB2312" w:hAnsi="仿宋_GB2312" w:cs="仿宋_GB2312"/>
          <w:kern w:val="0"/>
          <w:sz w:val="32"/>
          <w:szCs w:val="32"/>
          <w:lang w:val="zh-CN" w:bidi="zh-CN"/>
        </w:rPr>
      </w:pPr>
      <w:r>
        <w:rPr>
          <w:rFonts w:hint="eastAsia" w:ascii="仿宋_GB2312" w:hAnsi="仿宋_GB2312" w:cs="仿宋_GB2312"/>
          <w:kern w:val="0"/>
          <w:sz w:val="32"/>
          <w:szCs w:val="32"/>
          <w:lang w:val="zh-CN" w:bidi="zh-CN"/>
        </w:rPr>
        <w:t>为进一步提升中医药防治重大疑难疾病能力、创新中医药临床诊疗模式、提升中医临床科研能力，开展中医经典病房建设工作，根据《中医药传承创新工程重点中医医院建设指导意见》，制定本指南。本指南所指的中医经典病房是在中医经典理论与名老中医经验指导下，运用中医主导的方法和技术开展各种急危重症和复杂疑难病诊疗的临床科室。中医专科医院、民族医医院的经典病房建设参照本指南执行。</w:t>
      </w:r>
    </w:p>
    <w:p>
      <w:pPr>
        <w:autoSpaceDE w:val="0"/>
        <w:autoSpaceDN w:val="0"/>
        <w:adjustRightInd/>
        <w:snapToGrid/>
        <w:spacing w:line="580" w:lineRule="exact"/>
        <w:ind w:firstLine="628" w:firstLineChars="200"/>
        <w:jc w:val="left"/>
        <w:outlineLvl w:val="0"/>
        <w:rPr>
          <w:rFonts w:ascii="黑体" w:hAnsi="黑体" w:eastAsia="黑体" w:cs="仿宋_GB2312"/>
          <w:spacing w:val="-3"/>
          <w:kern w:val="0"/>
          <w:sz w:val="32"/>
          <w:szCs w:val="32"/>
          <w:lang w:val="zh-CN" w:bidi="zh-CN"/>
        </w:rPr>
      </w:pPr>
      <w:r>
        <w:rPr>
          <w:rFonts w:hint="eastAsia" w:ascii="黑体" w:hAnsi="黑体" w:eastAsia="黑体" w:cs="仿宋_GB2312"/>
          <w:spacing w:val="-3"/>
          <w:kern w:val="0"/>
          <w:sz w:val="32"/>
          <w:szCs w:val="32"/>
          <w:lang w:val="zh-CN" w:bidi="zh-CN"/>
        </w:rPr>
        <w:t>一、建设目标</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中医经典病房应通过运用中医经典理论与名老中医经验指导临床，充分发挥中医特色与优势，积极探索运用中医主导的方法和技术，开展各种急危重症和复杂疑难病的诊治工作，形成中医诊疗方案并向其他临床科室推广，达到全面提升中医临床诊疗水平以及中医服务能力的目标。具体指标方面，主攻病种中医参与治疗率应达100%，主攻病种中医为主的治疗率应达90%。中医特色治疗技术应达到5个以上。</w:t>
      </w:r>
    </w:p>
    <w:p>
      <w:pPr>
        <w:autoSpaceDE w:val="0"/>
        <w:autoSpaceDN w:val="0"/>
        <w:adjustRightInd/>
        <w:snapToGrid/>
        <w:spacing w:line="580" w:lineRule="exact"/>
        <w:ind w:firstLine="628" w:firstLineChars="200"/>
        <w:jc w:val="left"/>
        <w:outlineLvl w:val="0"/>
        <w:rPr>
          <w:rFonts w:ascii="黑体" w:hAnsi="黑体" w:eastAsia="黑体" w:cs="仿宋_GB2312"/>
          <w:spacing w:val="-3"/>
          <w:kern w:val="0"/>
          <w:sz w:val="32"/>
          <w:szCs w:val="32"/>
          <w:lang w:val="zh-CN" w:bidi="zh-CN"/>
        </w:rPr>
      </w:pPr>
      <w:r>
        <w:rPr>
          <w:rFonts w:hint="eastAsia" w:ascii="黑体" w:hAnsi="黑体" w:eastAsia="黑体" w:cs="仿宋_GB2312"/>
          <w:spacing w:val="-3"/>
          <w:kern w:val="0"/>
          <w:sz w:val="32"/>
          <w:szCs w:val="32"/>
          <w:lang w:val="zh-CN" w:bidi="zh-CN"/>
        </w:rPr>
        <w:t>二、建设内容</w:t>
      </w:r>
    </w:p>
    <w:p>
      <w:pPr>
        <w:autoSpaceDE w:val="0"/>
        <w:autoSpaceDN w:val="0"/>
        <w:adjustRightInd/>
        <w:snapToGrid/>
        <w:spacing w:line="580" w:lineRule="exact"/>
        <w:ind w:firstLine="631" w:firstLineChars="200"/>
        <w:jc w:val="left"/>
        <w:outlineLvl w:val="0"/>
        <w:rPr>
          <w:rFonts w:ascii="楷体_GB2312" w:hAnsi="楷体" w:eastAsia="楷体_GB2312" w:cs="仿宋_GB2312"/>
          <w:b/>
          <w:spacing w:val="-3"/>
          <w:kern w:val="0"/>
          <w:sz w:val="32"/>
          <w:szCs w:val="32"/>
          <w:lang w:val="zh-CN" w:bidi="zh-CN"/>
        </w:rPr>
      </w:pPr>
      <w:r>
        <w:rPr>
          <w:rFonts w:hint="eastAsia" w:ascii="楷体_GB2312" w:hAnsi="楷体" w:eastAsia="楷体_GB2312" w:cs="仿宋_GB2312"/>
          <w:b/>
          <w:spacing w:val="-3"/>
          <w:kern w:val="0"/>
          <w:sz w:val="32"/>
          <w:szCs w:val="32"/>
          <w:lang w:val="zh-CN" w:bidi="zh-CN"/>
        </w:rPr>
        <w:t>（一）加强基础设施设备配置</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1.中医经典病房原则上应设置为独立的一级科室，床位数应≥30张，业务用房面积应≥1000平方米。</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2.中医经典病房应设置重症监护单元并配置相应的监护抢救设备，重症监护单元病床数应≥4张；或与重症监护科位于同一楼层，重症监护科床位数不低于医院核定床位数的1%。</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3.中医经典病房应设置中医综合治疗室，面积不少于30平方米，配备针具、灸具、砭具、火罐、刮痧板、治疗床、恒温箱、通气排气设施等。</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4.中医经典病房应设置独立煎药区或与医院煎药室建立优先快捷配送机制，有条件的医院可配备临方炮制室，支持和保障中医经典病房膏、丸、散等临方制剂的制备和使用。</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5.中医经典病房应根据临床需要配备必要的设备，主要包括：</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1）一般设备：快速血糖仪、血压计、体温计、体重计、医用冰箱、心电图机、微量泵、输液泵、营养输注泵、冰帽、吸引设备、中心负压吸引设备、供氧设备、中心供氧设备、空气消毒机、呼吸湿化治疗仪等。</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（2）中医诊疗设备：包括中医床边治疗设备、中医康复设备等，有条件的医院可配置中医四诊采集分析设备，如中医舌象采集仪、中医脉象诊断仪、中医经络检测仪等。</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3）抢救设备：可根据收治病种结构，配置相应的抢救设备，如多参数监护设备、心脏除颤器、简易呼吸器、呼吸机、多功能抢救床、气管插管设备等。保障纤维支气管镜、电子冰毯、升温降温机、转运车、转运呼吸机、转运监护仪、辅助循环、血液净化机、床边X光、床边超声、床边生化血气仪等抢救设备能够随时调配使用。与重症监护科位于同一楼层的，可与重症监护科统筹使用抢救设备。</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（4）专科设备：根据主攻病种的需求，应配备相应的专科设备。</w:t>
      </w:r>
    </w:p>
    <w:p>
      <w:pPr>
        <w:autoSpaceDE w:val="0"/>
        <w:autoSpaceDN w:val="0"/>
        <w:adjustRightInd/>
        <w:snapToGrid/>
        <w:spacing w:line="580" w:lineRule="exact"/>
        <w:ind w:firstLine="631" w:firstLineChars="200"/>
        <w:jc w:val="left"/>
        <w:outlineLvl w:val="0"/>
        <w:rPr>
          <w:rFonts w:ascii="楷体_GB2312" w:hAnsi="楷体" w:eastAsia="楷体_GB2312" w:cs="仿宋_GB2312"/>
          <w:b/>
          <w:spacing w:val="-3"/>
          <w:kern w:val="0"/>
          <w:sz w:val="32"/>
          <w:szCs w:val="32"/>
          <w:lang w:val="zh-CN" w:bidi="zh-CN"/>
        </w:rPr>
      </w:pPr>
      <w:r>
        <w:rPr>
          <w:rFonts w:hint="eastAsia" w:ascii="楷体_GB2312" w:hAnsi="楷体" w:eastAsia="楷体_GB2312" w:cs="仿宋_GB2312"/>
          <w:b/>
          <w:spacing w:val="-3"/>
          <w:kern w:val="0"/>
          <w:sz w:val="32"/>
          <w:szCs w:val="32"/>
          <w:lang w:val="zh-CN" w:bidi="zh-CN"/>
        </w:rPr>
        <w:t>（二）加强人才队伍建设</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1.人员配备</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人员梯队应配备学术带头人、科主任、主治医师、住院医师和中医护理人员。开展中医康复治疗的应配备中医康复人员。中医类别执业医师原则上应占科室执业医师总人数比例≥90%，中医药院校或中医护理专业毕业或系统接受不少于100学时中医护理知识与技能培训的护理人员比例≥90%，原则上，医院还应配备能够提供中药临床药学服务的高年资中药药师。</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学术带头人应是在中医行业内理论和临床实践均有较高造诣与声望的名中医，如：国家级名中医、全国老中医药专家学术经验继承工作指导教师或全国优秀中医临床人才等。科主任应具备扎实的中医经典理论基础和较高的中医临床思辨能力，从事中医临床实践工作10年以上，有急危重症及疑难病救治实践及经验，原则上应具有高级职称，同时具备较强的管理能力和综合处置协调能力。医师团队成员应具备扎实的中医基础理论，具有相关专业中西医学术背景及专科实践技能，有较强的中医思辨能力和急危重症处理能力。住院医师应完成住院医师规范化培训，原则上应完成急诊科、重症医学科轮训。医师团队内应有1名具备主治医师职称的人员负责临床和科研等相关数据统计工作，并配合医院信息部门做好相关信息维护工作。</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护士长应具备扎实的中医经典理论基础和较高的中医临床护理综合能力与素养，从事中医临床护理工作10年以上，有急危重症及疑难病护理实践及经验，具有护理中级以上职称，同时具备一定的管理能力和综合处置协调能力，带领护理团队辨证施护，开展具有明显中医特色的专科护理服务和传播中医养生防病知识等。护理人员应熟练掌握普通护理及专科护理技能，同时需要加强护理中医内涵建设。</w:t>
      </w:r>
    </w:p>
    <w:p>
      <w:pPr>
        <w:autoSpaceDE w:val="0"/>
        <w:autoSpaceDN w:val="0"/>
        <w:adjustRightInd/>
        <w:snapToGrid/>
        <w:spacing w:line="580" w:lineRule="exact"/>
        <w:ind w:firstLine="648" w:firstLineChars="200"/>
        <w:rPr>
          <w:rFonts w:ascii="仿宋_GB2312" w:cs="仿宋_GB2312" w:hAnsiTheme="minorEastAsia"/>
          <w:spacing w:val="2"/>
          <w:kern w:val="0"/>
          <w:sz w:val="32"/>
          <w:szCs w:val="32"/>
          <w:lang w:val="zh-CN" w:bidi="zh-CN"/>
        </w:rPr>
      </w:pPr>
      <w:r>
        <w:rPr>
          <w:rFonts w:hint="eastAsia" w:ascii="仿宋_GB2312" w:cs="仿宋_GB2312" w:hAnsiTheme="minorEastAsia"/>
          <w:spacing w:val="2"/>
          <w:kern w:val="0"/>
          <w:sz w:val="32"/>
          <w:szCs w:val="32"/>
          <w:lang w:val="zh-CN" w:bidi="zh-CN"/>
        </w:rPr>
        <w:t>中医康复人员应具备中医基础理论知识与基本康复技能，能通过药物、手法、运动、器械等方法开展康复治疗并进行康复指导。</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提供中药临床药学服务的中药药师应掌握中药药理知识和常用制剂的制备技能，能开展中药临床疗效及中药不良反应监测工作，对超剂量或毒性中药饮片的临床应用进行指导与监管。</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2.人才培养</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以临床需求为导向、以学术为纽带，通过中医经典理论、中医临床思维与中医诊疗技术的培训、外聘名医专家、外出进修等多种形式，打造一支具备传承创新能力及学术后劲的中医经典人才队伍。</w:t>
      </w:r>
    </w:p>
    <w:p>
      <w:pPr>
        <w:autoSpaceDE w:val="0"/>
        <w:autoSpaceDN w:val="0"/>
        <w:adjustRightInd/>
        <w:snapToGrid/>
        <w:spacing w:line="580" w:lineRule="exact"/>
        <w:ind w:firstLine="648" w:firstLineChars="200"/>
        <w:rPr>
          <w:rFonts w:ascii="仿宋_GB2312" w:cs="仿宋_GB2312" w:hAnsiTheme="minorEastAsia"/>
          <w:spacing w:val="2"/>
          <w:kern w:val="0"/>
          <w:sz w:val="32"/>
          <w:szCs w:val="32"/>
          <w:lang w:val="zh-CN" w:bidi="zh-CN"/>
        </w:rPr>
      </w:pPr>
      <w:r>
        <w:rPr>
          <w:rFonts w:hint="eastAsia" w:ascii="仿宋_GB2312" w:cs="仿宋_GB2312" w:hAnsiTheme="minorEastAsia"/>
          <w:spacing w:val="2"/>
          <w:kern w:val="0"/>
          <w:sz w:val="32"/>
          <w:szCs w:val="32"/>
          <w:lang w:val="zh-CN" w:bidi="zh-CN"/>
        </w:rPr>
        <w:t>开展临证跟师，通过“师带徒”形式，系统挖掘、整理、继承、应用名医的学术思想与临证经验，为高层次中医人才成长提供平台。组织开展系统学习，制定中医经典理论、学术思想、诊疗方案、特色疗法等学习计划，开展中医经典学习活动，开展国医大师、全国名中医和省级名中医远程会诊和教学查房，营造浓厚中医氛围。加强学术交流，通过外出进修、学术研讨、案例分析等方式，提高运用中医经典理论救治急危重症及疑难疾病的能力。</w:t>
      </w:r>
    </w:p>
    <w:p>
      <w:pPr>
        <w:numPr>
          <w:ilvl w:val="0"/>
          <w:numId w:val="1"/>
        </w:numPr>
        <w:autoSpaceDE w:val="0"/>
        <w:autoSpaceDN w:val="0"/>
        <w:adjustRightInd/>
        <w:snapToGrid/>
        <w:spacing w:line="580" w:lineRule="exact"/>
        <w:ind w:firstLine="631" w:firstLineChars="200"/>
        <w:jc w:val="left"/>
        <w:outlineLvl w:val="0"/>
        <w:rPr>
          <w:rFonts w:ascii="楷体_GB2312" w:hAnsi="楷体" w:eastAsia="楷体_GB2312" w:cs="仿宋_GB2312"/>
          <w:b/>
          <w:spacing w:val="-3"/>
          <w:kern w:val="0"/>
          <w:sz w:val="32"/>
          <w:szCs w:val="32"/>
          <w:lang w:val="zh-CN" w:bidi="zh-CN"/>
        </w:rPr>
      </w:pPr>
      <w:r>
        <w:rPr>
          <w:rFonts w:hint="eastAsia" w:ascii="楷体_GB2312" w:hAnsi="楷体" w:eastAsia="楷体_GB2312" w:cs="仿宋_GB2312"/>
          <w:b/>
          <w:spacing w:val="-3"/>
          <w:kern w:val="0"/>
          <w:sz w:val="32"/>
          <w:szCs w:val="32"/>
          <w:lang w:val="zh-CN" w:bidi="zh-CN"/>
        </w:rPr>
        <w:t>提升急危重疑难病救治能力</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1.明确学术思想。结合地域及人群病症特点，在中医经典理论指导下，系统梳理中医经典文献，融合名老中医的学术经验和地域流派的学术思想，经过临床实践验证，确立适合自身的有利于中医经典病房发展的学术指导思想与理论体系。</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2.确定主攻病种。立足医院实际，根据科室特点与定位，选择3-5个急危重或疑难疾病作为主攻病种，优先选择各单位中医重点专科或区域诊疗中心所在的科室病种。</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3.研究制定并推广诊疗方案。针对主攻病种，在保障医疗安全的基础上，广泛挖掘地方流派特色、遴选中医民间特色技法，结合名老中医临证经验和医院临床实践基础，梳理总结诊治思路，通过临床实践，优化形成中医为主的中医经典病房主攻病种诊疗方案并推广应用。</w:t>
      </w:r>
    </w:p>
    <w:p>
      <w:pPr>
        <w:tabs>
          <w:tab w:val="left" w:pos="1916"/>
        </w:tabs>
        <w:autoSpaceDE w:val="0"/>
        <w:autoSpaceDN w:val="0"/>
        <w:adjustRightInd/>
        <w:snapToGrid/>
        <w:spacing w:line="580" w:lineRule="exact"/>
        <w:ind w:right="-50" w:firstLine="631" w:firstLineChars="200"/>
        <w:rPr>
          <w:rFonts w:ascii="楷体_GB2312" w:hAnsi="楷体" w:eastAsia="楷体_GB2312" w:cs="仿宋_GB2312"/>
          <w:b/>
          <w:spacing w:val="-3"/>
          <w:kern w:val="0"/>
          <w:sz w:val="32"/>
          <w:szCs w:val="32"/>
          <w:lang w:val="zh-CN" w:bidi="zh-CN"/>
        </w:rPr>
      </w:pPr>
      <w:r>
        <w:rPr>
          <w:rFonts w:hint="eastAsia" w:ascii="楷体_GB2312" w:hAnsi="楷体" w:eastAsia="楷体_GB2312" w:cs="仿宋_GB2312"/>
          <w:b/>
          <w:spacing w:val="-3"/>
          <w:kern w:val="0"/>
          <w:sz w:val="32"/>
          <w:szCs w:val="32"/>
          <w:lang w:val="zh-CN" w:bidi="zh-CN"/>
        </w:rPr>
        <w:t>（四）加强临床科研一体化建设</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中医经典病房应重视临床科研一体化建设，通过建立中医文献数据库、名医经验数据库、中医循证医案数据库、中药药物反应数据库等平台，为临床诊疗提供数据和理论支撑。明确临床科研方向，落实科研计划，积极参与院内制剂研发，每年应有一定数量的科研成果转化，推动中医急危重症临床研究的发展。</w:t>
      </w:r>
    </w:p>
    <w:p>
      <w:pPr>
        <w:autoSpaceDE w:val="0"/>
        <w:autoSpaceDN w:val="0"/>
        <w:adjustRightInd/>
        <w:snapToGrid/>
        <w:spacing w:line="580" w:lineRule="exact"/>
        <w:ind w:right="-50" w:firstLine="628" w:firstLineChars="200"/>
        <w:rPr>
          <w:rFonts w:ascii="黑体" w:hAnsi="黑体" w:eastAsia="黑体" w:cs="仿宋_GB2312"/>
          <w:spacing w:val="-3"/>
          <w:kern w:val="0"/>
          <w:sz w:val="32"/>
          <w:szCs w:val="32"/>
          <w:lang w:val="zh-CN" w:bidi="zh-CN"/>
        </w:rPr>
      </w:pPr>
      <w:r>
        <w:rPr>
          <w:rFonts w:hint="eastAsia" w:ascii="黑体" w:hAnsi="黑体" w:eastAsia="黑体" w:cs="仿宋_GB2312"/>
          <w:spacing w:val="-3"/>
          <w:kern w:val="0"/>
          <w:sz w:val="32"/>
          <w:szCs w:val="32"/>
          <w:lang w:val="zh-CN" w:bidi="zh-CN"/>
        </w:rPr>
        <w:t>三、运行机制与保障措施</w:t>
      </w:r>
    </w:p>
    <w:p>
      <w:pPr>
        <w:tabs>
          <w:tab w:val="left" w:pos="1916"/>
        </w:tabs>
        <w:autoSpaceDE w:val="0"/>
        <w:autoSpaceDN w:val="0"/>
        <w:adjustRightInd/>
        <w:snapToGrid/>
        <w:spacing w:line="580" w:lineRule="exact"/>
        <w:ind w:right="-50" w:firstLine="631" w:firstLineChars="200"/>
        <w:rPr>
          <w:rFonts w:ascii="楷体_GB2312" w:hAnsi="楷体" w:eastAsia="楷体_GB2312" w:cs="仿宋_GB2312"/>
          <w:b/>
          <w:spacing w:val="-3"/>
          <w:kern w:val="0"/>
          <w:sz w:val="32"/>
          <w:szCs w:val="32"/>
          <w:lang w:val="zh-CN" w:bidi="zh-CN"/>
        </w:rPr>
      </w:pPr>
      <w:r>
        <w:rPr>
          <w:rFonts w:hint="eastAsia" w:ascii="楷体_GB2312" w:hAnsi="楷体" w:eastAsia="楷体_GB2312" w:cs="仿宋_GB2312"/>
          <w:b/>
          <w:spacing w:val="-3"/>
          <w:kern w:val="0"/>
          <w:sz w:val="32"/>
          <w:szCs w:val="32"/>
          <w:lang w:val="zh-CN" w:bidi="zh-CN"/>
        </w:rPr>
        <w:t>（一）加强组织</w:t>
      </w:r>
      <w:r>
        <w:rPr>
          <w:rFonts w:ascii="楷体_GB2312" w:hAnsi="楷体" w:eastAsia="楷体_GB2312" w:cs="仿宋_GB2312"/>
          <w:b/>
          <w:spacing w:val="-3"/>
          <w:kern w:val="0"/>
          <w:sz w:val="32"/>
          <w:szCs w:val="32"/>
          <w:lang w:val="zh-CN" w:bidi="zh-CN"/>
        </w:rPr>
        <w:t>领导和部门协调</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医院应组建由院长担任组长的管理小组，为中医经典病房的建设提供场地、人员、技术、绩效等方面的支持。医院职能部门应与中医经典病房形成沟通协调机制，落实建设需求，在多学科协作、临床研究、设备购置与调配、药品供应、信息化建设、中医药科普宣传等方面给予指导与支持。医院应根据实际情况，制定重症监护科室与中医经典病房的联动运行机制，以保障危重病人的安全。中药煎药室应积极配合急危重症抢救，保障中药急煎和配送。</w:t>
      </w:r>
    </w:p>
    <w:p>
      <w:pPr>
        <w:tabs>
          <w:tab w:val="left" w:pos="1916"/>
        </w:tabs>
        <w:autoSpaceDE w:val="0"/>
        <w:autoSpaceDN w:val="0"/>
        <w:adjustRightInd/>
        <w:snapToGrid/>
        <w:spacing w:line="580" w:lineRule="exact"/>
        <w:ind w:right="-50" w:firstLine="631" w:firstLineChars="200"/>
        <w:rPr>
          <w:rFonts w:ascii="楷体_GB2312" w:hAnsi="楷体" w:eastAsia="楷体_GB2312" w:cs="仿宋_GB2312"/>
          <w:b/>
          <w:spacing w:val="-3"/>
          <w:kern w:val="0"/>
          <w:sz w:val="32"/>
          <w:szCs w:val="32"/>
          <w:lang w:val="zh-CN" w:bidi="zh-CN"/>
        </w:rPr>
      </w:pPr>
      <w:r>
        <w:rPr>
          <w:rFonts w:hint="eastAsia" w:ascii="楷体_GB2312" w:hAnsi="楷体" w:eastAsia="楷体_GB2312" w:cs="仿宋_GB2312"/>
          <w:b/>
          <w:spacing w:val="-3"/>
          <w:kern w:val="0"/>
          <w:sz w:val="32"/>
          <w:szCs w:val="32"/>
          <w:lang w:val="zh-CN" w:bidi="zh-CN"/>
        </w:rPr>
        <w:t>（二）加强住院管理和风险评估</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中医经典病房应严格管控医疗风险，采取院前整体评估、住院全面沟通、院后跟踪随访的阶段管理模式，关注患者住院过程的风险评估及管理。入院前，根据患者病情程度、疾病发展趋势进行综合判断，与患者及家属详细沟通中医经典病房的治疗及用药特点，按规定签署入院及用药知情同意书，结合患者病情及治疗意愿进行分诊，必要时应咨询相关专科意见，把握住院指征，并进行风险评估，做好风险防范措施及预案。入院后，严格贯彻落实医疗质量安全核心制度，充分发挥中医辨证论治的特色和优势，并根据病情发展变化灵活决定以中医为主导的治疗方案，以及把握危重病人转入重症监护单元或重症医学科的时机，为多系统多器官复杂疾病患者提供多学科会诊服务，加强医疗质量防控，保障医疗安全。出院后，通过电话、微信群等方式进行跟踪随访，与院后防病健康宣教相结合，降低院后复发、病人失访的风险。</w:t>
      </w:r>
    </w:p>
    <w:p>
      <w:pPr>
        <w:tabs>
          <w:tab w:val="left" w:pos="1916"/>
        </w:tabs>
        <w:autoSpaceDE w:val="0"/>
        <w:autoSpaceDN w:val="0"/>
        <w:adjustRightInd/>
        <w:snapToGrid/>
        <w:spacing w:line="580" w:lineRule="exact"/>
        <w:ind w:right="-50" w:firstLine="631" w:firstLineChars="200"/>
        <w:rPr>
          <w:rFonts w:ascii="楷体_GB2312" w:hAnsi="楷体" w:eastAsia="楷体_GB2312" w:cs="仿宋_GB2312"/>
          <w:b/>
          <w:spacing w:val="-3"/>
          <w:kern w:val="0"/>
          <w:sz w:val="32"/>
          <w:szCs w:val="32"/>
          <w:lang w:val="zh-CN" w:bidi="zh-CN"/>
        </w:rPr>
      </w:pPr>
      <w:r>
        <w:rPr>
          <w:rFonts w:hint="eastAsia" w:ascii="楷体_GB2312" w:hAnsi="楷体" w:eastAsia="楷体_GB2312" w:cs="仿宋_GB2312"/>
          <w:b/>
          <w:spacing w:val="-3"/>
          <w:kern w:val="0"/>
          <w:sz w:val="32"/>
          <w:szCs w:val="32"/>
          <w:lang w:val="zh-CN" w:bidi="zh-CN"/>
        </w:rPr>
        <w:t>（三）加强医疗质量和安全管理</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重视中药疗效及安全性监测，因病情需要使用超剂量或开具毒性中药饮片的，应符合相关规定，并与患者签订《知情同意书》、严格落实双签名制度；重视中药不良反应监测工作，制定药物不良反应干预措施操作规范；有条件的医院应安排中药师参与相关工作。</w:t>
      </w:r>
    </w:p>
    <w:p>
      <w:pPr>
        <w:tabs>
          <w:tab w:val="left" w:pos="1916"/>
        </w:tabs>
        <w:autoSpaceDE w:val="0"/>
        <w:autoSpaceDN w:val="0"/>
        <w:adjustRightInd/>
        <w:snapToGrid/>
        <w:spacing w:line="580" w:lineRule="exact"/>
        <w:ind w:right="-50" w:firstLine="631" w:firstLineChars="200"/>
        <w:rPr>
          <w:rFonts w:ascii="楷体_GB2312" w:hAnsi="楷体" w:eastAsia="楷体_GB2312" w:cs="仿宋_GB2312"/>
          <w:b/>
          <w:spacing w:val="-3"/>
          <w:kern w:val="0"/>
          <w:sz w:val="32"/>
          <w:szCs w:val="32"/>
          <w:lang w:val="zh-CN" w:bidi="zh-CN"/>
        </w:rPr>
      </w:pPr>
      <w:r>
        <w:rPr>
          <w:rFonts w:hint="eastAsia" w:ascii="楷体_GB2312" w:hAnsi="楷体" w:eastAsia="楷体_GB2312" w:cs="仿宋_GB2312"/>
          <w:b/>
          <w:spacing w:val="-3"/>
          <w:kern w:val="0"/>
          <w:sz w:val="32"/>
          <w:szCs w:val="32"/>
          <w:lang w:val="zh-CN" w:bidi="zh-CN"/>
        </w:rPr>
        <w:t>（四）加强对优秀中医药人才的培育</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中医经典病房的医疗人员应具有较高的中医思维与辨治能力。医院应制定符合中医药人才成长规律的相关政策和制度，如师带徒制度、脱产跟师制度、外出进修制度、人才引进及考评制度等，以鼓励中医经典病房医疗人员持续提高中医水平。</w:t>
      </w:r>
    </w:p>
    <w:p>
      <w:pPr>
        <w:tabs>
          <w:tab w:val="left" w:pos="1916"/>
        </w:tabs>
        <w:autoSpaceDE w:val="0"/>
        <w:autoSpaceDN w:val="0"/>
        <w:adjustRightInd/>
        <w:snapToGrid/>
        <w:spacing w:line="580" w:lineRule="exact"/>
        <w:ind w:right="-50" w:firstLine="631" w:firstLineChars="200"/>
        <w:rPr>
          <w:rFonts w:ascii="楷体_GB2312" w:hAnsi="楷体" w:eastAsia="楷体_GB2312" w:cs="仿宋_GB2312"/>
          <w:b/>
          <w:spacing w:val="-3"/>
          <w:kern w:val="0"/>
          <w:sz w:val="32"/>
          <w:szCs w:val="32"/>
          <w:lang w:val="zh-CN" w:bidi="zh-CN"/>
        </w:rPr>
      </w:pPr>
      <w:r>
        <w:rPr>
          <w:rFonts w:hint="eastAsia" w:ascii="楷体_GB2312" w:hAnsi="楷体" w:eastAsia="楷体_GB2312" w:cs="仿宋_GB2312"/>
          <w:b/>
          <w:spacing w:val="-3"/>
          <w:kern w:val="0"/>
          <w:sz w:val="32"/>
          <w:szCs w:val="32"/>
          <w:lang w:val="zh-CN" w:bidi="zh-CN"/>
        </w:rPr>
        <w:t>（五）加强对中医诊疗模式创新工作的保障和扶持</w:t>
      </w:r>
    </w:p>
    <w:p>
      <w:pPr>
        <w:autoSpaceDE w:val="0"/>
        <w:autoSpaceDN w:val="0"/>
        <w:adjustRightInd/>
        <w:snapToGrid/>
        <w:spacing w:line="58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中医经典病房的诊疗模式是以中医主导治疗急危重疑难疾病，是有别于普通科室的全新探索与创新。医院应在科室绩效考核、人员职称评定、诊疗设备配置、中医特色技术开展、特殊中药运用等方面给予相关的政策和制度倾斜，以保障中医经典病房在发展中坚持中医特色与优势。</w:t>
      </w:r>
    </w:p>
    <w:p>
      <w:pPr>
        <w:autoSpaceDE w:val="0"/>
        <w:autoSpaceDN w:val="0"/>
        <w:adjustRightInd/>
        <w:snapToGrid/>
        <w:spacing w:line="600" w:lineRule="exact"/>
        <w:ind w:right="-50" w:firstLine="628" w:firstLineChars="200"/>
        <w:rPr>
          <w:rFonts w:ascii="仿宋" w:hAnsi="仿宋" w:eastAsia="仿宋" w:cs="仿宋_GB2312"/>
          <w:spacing w:val="-3"/>
          <w:kern w:val="0"/>
          <w:sz w:val="32"/>
          <w:szCs w:val="32"/>
          <w:lang w:bidi="zh-CN"/>
        </w:rPr>
      </w:pPr>
    </w:p>
    <w:p>
      <w:pPr>
        <w:autoSpaceDE w:val="0"/>
        <w:autoSpaceDN w:val="0"/>
        <w:adjustRightInd/>
        <w:snapToGrid/>
        <w:spacing w:line="600" w:lineRule="exact"/>
        <w:ind w:firstLine="0"/>
        <w:jc w:val="left"/>
        <w:rPr>
          <w:rFonts w:ascii="仿宋" w:hAnsi="仿宋" w:eastAsia="仿宋" w:cs="仿宋_GB2312"/>
          <w:spacing w:val="-3"/>
          <w:kern w:val="0"/>
          <w:sz w:val="32"/>
          <w:szCs w:val="32"/>
          <w:lang w:val="zh-CN" w:bidi="zh-CN"/>
        </w:rPr>
      </w:pPr>
      <w:r>
        <w:rPr>
          <w:rFonts w:hint="eastAsia" w:ascii="仿宋" w:hAnsi="仿宋" w:eastAsia="仿宋" w:cs="仿宋_GB2312"/>
          <w:spacing w:val="-3"/>
          <w:kern w:val="0"/>
          <w:sz w:val="32"/>
          <w:szCs w:val="32"/>
          <w:lang w:val="zh-CN" w:bidi="zh-CN"/>
        </w:rPr>
        <w:br w:type="page"/>
      </w:r>
    </w:p>
    <w:p>
      <w:pPr>
        <w:autoSpaceDE w:val="0"/>
        <w:autoSpaceDN w:val="0"/>
        <w:adjustRightInd/>
        <w:snapToGrid/>
        <w:spacing w:line="600" w:lineRule="exact"/>
        <w:ind w:firstLine="0"/>
        <w:jc w:val="left"/>
        <w:outlineLvl w:val="0"/>
        <w:rPr>
          <w:rFonts w:ascii="黑体" w:hAnsi="黑体" w:eastAsia="黑体" w:cs="仿宋_GB2312"/>
          <w:spacing w:val="-3"/>
          <w:kern w:val="0"/>
          <w:sz w:val="32"/>
          <w:szCs w:val="32"/>
          <w:lang w:val="zh-CN" w:bidi="zh-CN"/>
        </w:rPr>
      </w:pPr>
      <w:r>
        <w:rPr>
          <w:rFonts w:hint="eastAsia" w:ascii="黑体" w:hAnsi="黑体" w:eastAsia="黑体" w:cs="仿宋_GB2312"/>
          <w:spacing w:val="-3"/>
          <w:kern w:val="0"/>
          <w:sz w:val="32"/>
          <w:szCs w:val="32"/>
          <w:lang w:val="zh-CN" w:bidi="zh-CN"/>
        </w:rPr>
        <w:t>附：</w:t>
      </w:r>
    </w:p>
    <w:p>
      <w:pPr>
        <w:autoSpaceDE w:val="0"/>
        <w:autoSpaceDN w:val="0"/>
        <w:adjustRightInd/>
        <w:snapToGrid/>
        <w:spacing w:line="560" w:lineRule="exact"/>
        <w:ind w:right="-10" w:firstLine="0"/>
        <w:jc w:val="center"/>
        <w:outlineLvl w:val="0"/>
        <w:rPr>
          <w:rFonts w:ascii="华文中宋" w:hAnsi="华文中宋" w:eastAsia="华文中宋" w:cs="仿宋_GB2312"/>
          <w:b/>
          <w:spacing w:val="-3"/>
          <w:kern w:val="0"/>
          <w:sz w:val="44"/>
          <w:szCs w:val="44"/>
          <w:lang w:val="zh-CN" w:bidi="zh-CN"/>
        </w:rPr>
      </w:pPr>
    </w:p>
    <w:p>
      <w:pPr>
        <w:autoSpaceDE w:val="0"/>
        <w:autoSpaceDN w:val="0"/>
        <w:adjustRightInd/>
        <w:snapToGrid/>
        <w:spacing w:line="560" w:lineRule="exact"/>
        <w:ind w:right="-10" w:firstLine="0"/>
        <w:jc w:val="center"/>
        <w:outlineLvl w:val="0"/>
        <w:rPr>
          <w:rFonts w:ascii="方正小标宋简体" w:hAnsi="华文中宋" w:eastAsia="方正小标宋简体" w:cs="仿宋_GB2312"/>
          <w:spacing w:val="-3"/>
          <w:kern w:val="0"/>
          <w:sz w:val="44"/>
          <w:szCs w:val="44"/>
          <w:lang w:val="zh-CN" w:bidi="zh-CN"/>
        </w:rPr>
      </w:pPr>
      <w:r>
        <w:rPr>
          <w:rFonts w:hint="eastAsia" w:ascii="方正小标宋简体" w:hAnsi="华文中宋" w:eastAsia="方正小标宋简体" w:cs="仿宋_GB2312"/>
          <w:spacing w:val="-3"/>
          <w:kern w:val="0"/>
          <w:sz w:val="44"/>
          <w:szCs w:val="44"/>
          <w:lang w:val="zh-CN" w:bidi="zh-CN"/>
        </w:rPr>
        <w:t>中医经典病房医护技术技能要求</w:t>
      </w:r>
    </w:p>
    <w:p>
      <w:pPr>
        <w:autoSpaceDE w:val="0"/>
        <w:autoSpaceDN w:val="0"/>
        <w:adjustRightInd/>
        <w:snapToGrid/>
        <w:spacing w:line="560" w:lineRule="exact"/>
        <w:ind w:firstLine="0"/>
        <w:jc w:val="left"/>
        <w:rPr>
          <w:rFonts w:ascii="仿宋" w:hAnsi="仿宋" w:eastAsia="仿宋" w:cs="仿宋_GB2312"/>
          <w:spacing w:val="-3"/>
          <w:kern w:val="0"/>
          <w:sz w:val="32"/>
          <w:szCs w:val="32"/>
          <w:lang w:val="zh-CN" w:bidi="zh-CN"/>
        </w:rPr>
      </w:pPr>
    </w:p>
    <w:p>
      <w:pPr>
        <w:autoSpaceDE w:val="0"/>
        <w:autoSpaceDN w:val="0"/>
        <w:adjustRightInd/>
        <w:snapToGrid/>
        <w:spacing w:line="600" w:lineRule="exact"/>
        <w:ind w:firstLine="640" w:firstLineChars="200"/>
        <w:rPr>
          <w:rFonts w:ascii="黑体" w:hAnsi="黑体" w:eastAsia="黑体" w:cs="仿宋_GB2312"/>
          <w:kern w:val="0"/>
          <w:sz w:val="32"/>
          <w:szCs w:val="32"/>
          <w:lang w:val="zh-CN" w:bidi="zh-CN"/>
        </w:rPr>
      </w:pPr>
      <w:r>
        <w:rPr>
          <w:rFonts w:hint="eastAsia" w:ascii="黑体" w:hAnsi="黑体" w:eastAsia="黑体" w:cs="仿宋_GB2312"/>
          <w:kern w:val="0"/>
          <w:sz w:val="32"/>
          <w:szCs w:val="32"/>
          <w:lang w:val="zh-CN" w:bidi="zh-CN"/>
        </w:rPr>
        <w:t>1．中医经典病房医师应掌握的技术技能</w:t>
      </w:r>
    </w:p>
    <w:p>
      <w:pPr>
        <w:autoSpaceDE w:val="0"/>
        <w:autoSpaceDN w:val="0"/>
        <w:adjustRightInd/>
        <w:snapToGrid/>
        <w:spacing w:line="600" w:lineRule="exact"/>
        <w:ind w:firstLine="624" w:firstLineChars="200"/>
        <w:rPr>
          <w:rFonts w:ascii="仿宋_GB2312" w:cs="仿宋_GB2312" w:hAnsiTheme="minorEastAsia"/>
          <w:spacing w:val="-4"/>
          <w:kern w:val="0"/>
          <w:sz w:val="32"/>
          <w:szCs w:val="32"/>
          <w:lang w:val="zh-CN" w:bidi="zh-CN"/>
        </w:rPr>
      </w:pPr>
      <w:r>
        <w:rPr>
          <w:rFonts w:hint="eastAsia" w:ascii="仿宋_GB2312" w:cs="仿宋_GB2312" w:hAnsiTheme="minorEastAsia"/>
          <w:spacing w:val="-4"/>
          <w:kern w:val="0"/>
          <w:sz w:val="32"/>
          <w:szCs w:val="32"/>
          <w:lang w:val="zh-CN" w:bidi="zh-CN"/>
        </w:rPr>
        <w:t>（1）能够独立辨证治疗各种中医急危重症及本科室主攻病种；</w:t>
      </w:r>
    </w:p>
    <w:p>
      <w:pPr>
        <w:autoSpaceDE w:val="0"/>
        <w:autoSpaceDN w:val="0"/>
        <w:adjustRightInd/>
        <w:snapToGrid/>
        <w:spacing w:line="60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（2）掌握常见急危重症的现代医学救治技术；</w:t>
      </w:r>
    </w:p>
    <w:p>
      <w:pPr>
        <w:autoSpaceDE w:val="0"/>
        <w:autoSpaceDN w:val="0"/>
        <w:adjustRightInd/>
        <w:snapToGrid/>
        <w:spacing w:line="60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（3）掌握针灸、刮痧、拔罐、放血等中医急救技术；</w:t>
      </w:r>
    </w:p>
    <w:p>
      <w:pPr>
        <w:autoSpaceDE w:val="0"/>
        <w:autoSpaceDN w:val="0"/>
        <w:adjustRightInd/>
        <w:snapToGrid/>
        <w:spacing w:line="60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（4）掌握中医治未病和康复技术；</w:t>
      </w:r>
    </w:p>
    <w:p>
      <w:pPr>
        <w:autoSpaceDE w:val="0"/>
        <w:autoSpaceDN w:val="0"/>
        <w:adjustRightInd/>
        <w:snapToGrid/>
        <w:spacing w:line="60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（5）掌握胸痹心痛、心悸、厥脱等重症心电图识别：如不稳定心绞痛、急性心肌梗死、严重心律失常等；</w:t>
      </w:r>
    </w:p>
    <w:p>
      <w:pPr>
        <w:autoSpaceDE w:val="0"/>
        <w:autoSpaceDN w:val="0"/>
        <w:adjustRightInd/>
        <w:snapToGrid/>
        <w:spacing w:line="60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（6）掌握急性中毒的诊断和中西医救治原则与方法；</w:t>
      </w:r>
    </w:p>
    <w:p>
      <w:pPr>
        <w:autoSpaceDE w:val="0"/>
        <w:autoSpaceDN w:val="0"/>
        <w:adjustRightInd/>
        <w:snapToGrid/>
        <w:spacing w:line="600" w:lineRule="exact"/>
        <w:ind w:firstLine="632" w:firstLineChars="200"/>
        <w:rPr>
          <w:rFonts w:ascii="仿宋_GB2312" w:cs="仿宋_GB2312" w:hAnsiTheme="minorEastAsia"/>
          <w:spacing w:val="-2"/>
          <w:kern w:val="0"/>
          <w:sz w:val="32"/>
          <w:szCs w:val="32"/>
          <w:lang w:val="zh-CN" w:bidi="zh-CN"/>
        </w:rPr>
      </w:pPr>
      <w:r>
        <w:rPr>
          <w:rFonts w:hint="eastAsia" w:ascii="仿宋_GB2312" w:cs="仿宋_GB2312" w:hAnsiTheme="minorEastAsia"/>
          <w:spacing w:val="-2"/>
          <w:kern w:val="0"/>
          <w:sz w:val="32"/>
          <w:szCs w:val="32"/>
          <w:lang w:val="zh-CN" w:bidi="zh-CN"/>
        </w:rPr>
        <w:t>（7）掌握心肺脑复苏术，气道开放技术，电除颤等操作规范；</w:t>
      </w:r>
    </w:p>
    <w:p>
      <w:pPr>
        <w:autoSpaceDE w:val="0"/>
        <w:autoSpaceDN w:val="0"/>
        <w:adjustRightInd/>
        <w:snapToGrid/>
        <w:spacing w:line="60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（8）根据主攻病种及专业方向，应掌握相应的专科操作技能，如深静脉穿刺置管术，胸腔、腹腔和心包穿刺术，腰椎穿刺术，骨髓穿刺术等。</w:t>
      </w:r>
    </w:p>
    <w:p>
      <w:pPr>
        <w:autoSpaceDE w:val="0"/>
        <w:autoSpaceDN w:val="0"/>
        <w:adjustRightInd/>
        <w:snapToGrid/>
        <w:spacing w:line="600" w:lineRule="exact"/>
        <w:ind w:firstLine="640" w:firstLineChars="200"/>
        <w:rPr>
          <w:rFonts w:ascii="黑体" w:hAnsi="黑体" w:eastAsia="黑体" w:cs="仿宋_GB2312"/>
          <w:kern w:val="0"/>
          <w:sz w:val="32"/>
          <w:szCs w:val="32"/>
          <w:lang w:val="zh-CN" w:bidi="zh-CN"/>
        </w:rPr>
      </w:pPr>
      <w:r>
        <w:rPr>
          <w:rFonts w:hint="eastAsia" w:ascii="黑体" w:hAnsi="黑体" w:eastAsia="黑体" w:cs="仿宋_GB2312"/>
          <w:kern w:val="0"/>
          <w:sz w:val="32"/>
          <w:szCs w:val="32"/>
          <w:lang w:val="zh-CN" w:bidi="zh-CN"/>
        </w:rPr>
        <w:t>2．中医经典病房护士应掌握的技术技能</w:t>
      </w:r>
    </w:p>
    <w:p>
      <w:pPr>
        <w:autoSpaceDE w:val="0"/>
        <w:autoSpaceDN w:val="0"/>
        <w:adjustRightInd/>
        <w:snapToGrid/>
        <w:spacing w:line="600" w:lineRule="exact"/>
        <w:ind w:firstLine="632" w:firstLineChars="200"/>
        <w:rPr>
          <w:rFonts w:ascii="仿宋_GB2312" w:cs="仿宋_GB2312" w:hAnsiTheme="minorEastAsia"/>
          <w:spacing w:val="-2"/>
          <w:kern w:val="0"/>
          <w:sz w:val="32"/>
          <w:szCs w:val="32"/>
          <w:lang w:val="zh-CN" w:bidi="zh-CN"/>
        </w:rPr>
      </w:pPr>
      <w:r>
        <w:rPr>
          <w:rFonts w:hint="eastAsia" w:ascii="仿宋_GB2312" w:cs="仿宋_GB2312" w:hAnsiTheme="minorEastAsia"/>
          <w:spacing w:val="-2"/>
          <w:kern w:val="0"/>
          <w:sz w:val="32"/>
          <w:szCs w:val="32"/>
          <w:lang w:val="zh-CN" w:bidi="zh-CN"/>
        </w:rPr>
        <w:t>（1）掌握中医护理工作内涵及流程，进行中医临床诊疗信息采集及病情评估，做好用药观察，中药煎服法的宣教和服药管理；</w:t>
      </w:r>
    </w:p>
    <w:p>
      <w:pPr>
        <w:autoSpaceDE w:val="0"/>
        <w:autoSpaceDN w:val="0"/>
        <w:adjustRightInd/>
        <w:snapToGrid/>
        <w:spacing w:line="60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（2）掌握中医经典病房内的院内感染预防与控制原则；</w:t>
      </w:r>
    </w:p>
    <w:p>
      <w:pPr>
        <w:autoSpaceDE w:val="0"/>
        <w:autoSpaceDN w:val="0"/>
        <w:adjustRightInd/>
        <w:snapToGrid/>
        <w:spacing w:line="60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（3）掌握常见急危重症的中西医急救护理和辨证施护；</w:t>
      </w:r>
    </w:p>
    <w:p>
      <w:pPr>
        <w:autoSpaceDE w:val="0"/>
        <w:autoSpaceDN w:val="0"/>
        <w:adjustRightInd/>
        <w:snapToGrid/>
        <w:spacing w:line="60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（4）掌握急危重症患者的监护技术及急救护理操作技术；掌握擦浴、刮痧、拔罐等中医技术；</w:t>
      </w:r>
    </w:p>
    <w:p>
      <w:pPr>
        <w:autoSpaceDE w:val="0"/>
        <w:autoSpaceDN w:val="0"/>
        <w:adjustRightInd/>
        <w:snapToGrid/>
        <w:spacing w:line="60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（5）掌握各种抢救设备、针灸、火罐等物品及中西药物的应用和管理。</w:t>
      </w:r>
    </w:p>
    <w:p>
      <w:pPr>
        <w:autoSpaceDE w:val="0"/>
        <w:autoSpaceDN w:val="0"/>
        <w:adjustRightInd/>
        <w:snapToGrid/>
        <w:spacing w:line="600" w:lineRule="exact"/>
        <w:ind w:firstLine="640" w:firstLineChars="200"/>
        <w:rPr>
          <w:rFonts w:ascii="仿宋_GB2312" w:cs="仿宋_GB2312" w:hAnsiTheme="minorEastAsia"/>
          <w:kern w:val="0"/>
          <w:sz w:val="32"/>
          <w:szCs w:val="32"/>
          <w:lang w:val="zh-CN" w:bidi="zh-CN"/>
        </w:rPr>
      </w:pPr>
      <w:r>
        <w:rPr>
          <w:rFonts w:hint="eastAsia" w:ascii="仿宋_GB2312" w:cs="仿宋_GB2312" w:hAnsiTheme="minorEastAsia"/>
          <w:kern w:val="0"/>
          <w:sz w:val="32"/>
          <w:szCs w:val="32"/>
          <w:lang w:val="zh-CN" w:bidi="zh-CN"/>
        </w:rPr>
        <w:t>（6）掌握实施本科室主攻病种的中医护理常规。</w:t>
      </w:r>
    </w:p>
    <w:p>
      <w:pPr>
        <w:tabs>
          <w:tab w:val="left" w:pos="6663"/>
          <w:tab w:val="left" w:pos="7655"/>
        </w:tabs>
        <w:adjustRightInd/>
        <w:snapToGrid/>
        <w:spacing w:line="500" w:lineRule="exact"/>
        <w:ind w:left="150" w:leftChars="50" w:right="876" w:rightChars="292" w:firstLine="1126"/>
        <w:jc w:val="left"/>
        <w:rPr>
          <w:rFonts w:ascii="仿宋_GB2312" w:hAnsi="仿宋"/>
          <w:color w:val="0D0D0D"/>
          <w:sz w:val="32"/>
          <w:szCs w:val="32"/>
        </w:rPr>
      </w:pPr>
    </w:p>
    <w:p>
      <w:pPr>
        <w:widowControl/>
        <w:adjustRightInd/>
        <w:snapToGrid/>
        <w:spacing w:line="240" w:lineRule="auto"/>
        <w:ind w:firstLine="0"/>
        <w:jc w:val="left"/>
        <w:rPr>
          <w:rFonts w:ascii="仿宋_GB2312" w:hAnsi="仿宋"/>
          <w:color w:val="0D0D0D"/>
          <w:sz w:val="32"/>
          <w:szCs w:val="32"/>
        </w:rPr>
      </w:pPr>
    </w:p>
    <w:p>
      <w:pPr>
        <w:widowControl/>
        <w:adjustRightInd/>
        <w:snapToGrid/>
        <w:spacing w:line="560" w:lineRule="exact"/>
        <w:ind w:firstLine="0"/>
        <w:jc w:val="left"/>
        <w:rPr>
          <w:rFonts w:ascii="仿宋_GB2312" w:hAnsi="仿宋"/>
          <w:color w:val="0D0D0D"/>
          <w:sz w:val="32"/>
          <w:szCs w:val="32"/>
        </w:rPr>
      </w:pPr>
    </w:p>
    <w:p>
      <w:pPr>
        <w:widowControl/>
        <w:adjustRightInd/>
        <w:snapToGrid/>
        <w:spacing w:line="560" w:lineRule="exact"/>
        <w:ind w:firstLine="0"/>
        <w:jc w:val="left"/>
        <w:rPr>
          <w:rFonts w:ascii="仿宋_GB2312" w:hAnsi="仿宋"/>
          <w:color w:val="0D0D0D"/>
          <w:sz w:val="32"/>
          <w:szCs w:val="32"/>
        </w:rPr>
      </w:pPr>
    </w:p>
    <w:p>
      <w:pPr>
        <w:widowControl/>
        <w:adjustRightInd/>
        <w:snapToGrid/>
        <w:spacing w:line="560" w:lineRule="exact"/>
        <w:ind w:firstLine="0"/>
        <w:jc w:val="left"/>
        <w:rPr>
          <w:rFonts w:ascii="仿宋_GB2312" w:hAnsi="仿宋"/>
          <w:color w:val="0D0D0D"/>
          <w:sz w:val="32"/>
          <w:szCs w:val="32"/>
        </w:rPr>
      </w:pPr>
    </w:p>
    <w:p>
      <w:pPr>
        <w:widowControl/>
        <w:adjustRightInd/>
        <w:snapToGrid/>
        <w:spacing w:line="560" w:lineRule="exact"/>
        <w:ind w:firstLine="0"/>
        <w:jc w:val="left"/>
        <w:rPr>
          <w:rFonts w:ascii="仿宋_GB2312" w:hAnsi="仿宋"/>
          <w:color w:val="0D0D0D"/>
          <w:sz w:val="32"/>
          <w:szCs w:val="32"/>
        </w:rPr>
      </w:pPr>
    </w:p>
    <w:p>
      <w:pPr>
        <w:widowControl/>
        <w:adjustRightInd/>
        <w:snapToGrid/>
        <w:spacing w:line="560" w:lineRule="exact"/>
        <w:ind w:firstLine="0"/>
        <w:jc w:val="left"/>
        <w:rPr>
          <w:rFonts w:ascii="仿宋_GB2312" w:hAnsi="仿宋"/>
          <w:color w:val="0D0D0D"/>
          <w:sz w:val="32"/>
          <w:szCs w:val="32"/>
        </w:rPr>
      </w:pPr>
    </w:p>
    <w:p>
      <w:pPr>
        <w:widowControl/>
        <w:adjustRightInd/>
        <w:snapToGrid/>
        <w:spacing w:line="560" w:lineRule="exact"/>
        <w:ind w:firstLine="0"/>
        <w:jc w:val="left"/>
        <w:rPr>
          <w:rFonts w:ascii="仿宋_GB2312" w:hAnsi="仿宋"/>
          <w:color w:val="0D0D0D"/>
          <w:sz w:val="32"/>
          <w:szCs w:val="32"/>
        </w:rPr>
      </w:pPr>
    </w:p>
    <w:sectPr>
      <w:footerReference r:id="rId7" w:type="first"/>
      <w:footerReference r:id="rId5" w:type="default"/>
      <w:footerReference r:id="rId6" w:type="even"/>
      <w:pgSz w:w="11906" w:h="16838"/>
      <w:pgMar w:top="1701" w:right="1531" w:bottom="1701" w:left="1531" w:header="851" w:footer="992" w:gutter="0"/>
      <w:cols w:space="425" w:num="1"/>
      <w:titlePg/>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67E773-3E80-4CD4-99FD-FF19ECD45C3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embedRegular r:id="rId2" w:fontKey="{8B6A79C0-844D-4EEB-A851-40F3EAF7C2A4}"/>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embedRegular r:id="rId3" w:fontKey="{8E401A92-922C-4474-AA82-19773D1070E1}"/>
  </w:font>
  <w:font w:name="楷体_GB2312">
    <w:altName w:val="楷体"/>
    <w:panose1 w:val="02010609030101010101"/>
    <w:charset w:val="86"/>
    <w:family w:val="modern"/>
    <w:pitch w:val="default"/>
    <w:sig w:usb0="00000000" w:usb1="00000000" w:usb2="00000010" w:usb3="00000000" w:csb0="00040000" w:csb1="00000000"/>
    <w:embedRegular r:id="rId4" w:fontKey="{8E2EE42A-8CBA-42AA-BCE8-CC1C44D8A568}"/>
  </w:font>
  <w:font w:name="楷体">
    <w:panose1 w:val="02010609060101010101"/>
    <w:charset w:val="86"/>
    <w:family w:val="modern"/>
    <w:pitch w:val="default"/>
    <w:sig w:usb0="800002BF" w:usb1="38CF7CFA" w:usb2="00000016" w:usb3="00000000" w:csb0="00040001" w:csb1="00000000"/>
    <w:embedRegular r:id="rId5" w:fontKey="{06DFFC87-D59F-4DD2-B3B9-249A3D05FA3A}"/>
  </w:font>
  <w:font w:name="仿宋">
    <w:panose1 w:val="02010609060101010101"/>
    <w:charset w:val="86"/>
    <w:family w:val="modern"/>
    <w:pitch w:val="default"/>
    <w:sig w:usb0="800002BF" w:usb1="38CF7CFA" w:usb2="00000016" w:usb3="00000000" w:csb0="00040001" w:csb1="00000000"/>
    <w:embedRegular r:id="rId6" w:fontKey="{C03110E7-3232-4D4C-9F69-40F1A864C479}"/>
  </w:font>
  <w:font w:name="华文中宋">
    <w:altName w:val="宋体"/>
    <w:panose1 w:val="02010600040101010101"/>
    <w:charset w:val="86"/>
    <w:family w:val="auto"/>
    <w:pitch w:val="default"/>
    <w:sig w:usb0="00000000" w:usb1="00000000" w:usb2="00000010" w:usb3="00000000" w:csb0="0004009F" w:csb1="00000000"/>
    <w:embedRegular r:id="rId7" w:fontKey="{F081C9A8-3E44-426E-928F-538D5FF1B2C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leftChars="100" w:right="300" w:rightChars="100" w:firstLine="0"/>
      <w:jc w:val="right"/>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887146112"/>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ascii="宋体" w:hAnsi="宋体" w:eastAsia="宋体"/>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leftChars="100" w:right="300" w:rightChars="100" w:firstLine="0"/>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1386023952"/>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ascii="宋体" w:hAnsi="宋体" w:eastAsia="宋体"/>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300" w:leftChars="100" w:right="300" w:rightChars="100" w:firstLine="0"/>
      <w:jc w:val="right"/>
      <w:rPr>
        <w:rFonts w:ascii="宋体" w:hAnsi="宋体" w:eastAsia="宋体"/>
        <w:sz w:val="28"/>
        <w:szCs w:val="28"/>
      </w:rPr>
    </w:pPr>
    <w:r>
      <w:rPr>
        <w:rFonts w:ascii="宋体" w:hAnsi="宋体" w:eastAsia="宋体"/>
        <w:sz w:val="28"/>
        <w:szCs w:val="28"/>
      </w:rPr>
      <w:t xml:space="preserve">— </w:t>
    </w:r>
    <w:sdt>
      <w:sdtPr>
        <w:rPr>
          <w:rFonts w:ascii="宋体" w:hAnsi="宋体" w:eastAsia="宋体"/>
          <w:sz w:val="28"/>
          <w:szCs w:val="28"/>
        </w:rPr>
        <w:id w:val="-1957328038"/>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F4338"/>
    <w:multiLevelType w:val="singleLevel"/>
    <w:tmpl w:val="9E7F4338"/>
    <w:lvl w:ilvl="0" w:tentative="0">
      <w:start w:val="3"/>
      <w:numFmt w:val="chineseCounting"/>
      <w:suff w:val="nothing"/>
      <w:lvlText w:val="（%1）"/>
      <w:lvlJc w:val="left"/>
      <w:rPr>
        <w:rFonts w:hint="eastAsia" w:ascii="楷体_GB2312" w:eastAsia="楷体_GB2312"/>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jg4M2M5MGQxYzZlZWNjNGE4OGM0M2RmYjlkZDQifQ=="/>
  </w:docVars>
  <w:rsids>
    <w:rsidRoot w:val="00FF2A5C"/>
    <w:rsid w:val="00006340"/>
    <w:rsid w:val="0001106C"/>
    <w:rsid w:val="0003740A"/>
    <w:rsid w:val="000502A6"/>
    <w:rsid w:val="00062385"/>
    <w:rsid w:val="00066CD5"/>
    <w:rsid w:val="00072ECE"/>
    <w:rsid w:val="00075A3A"/>
    <w:rsid w:val="000768BA"/>
    <w:rsid w:val="0009208A"/>
    <w:rsid w:val="000945C7"/>
    <w:rsid w:val="000A7968"/>
    <w:rsid w:val="000C6902"/>
    <w:rsid w:val="000C7412"/>
    <w:rsid w:val="000F6CB7"/>
    <w:rsid w:val="000F7A37"/>
    <w:rsid w:val="0010761A"/>
    <w:rsid w:val="00120BFD"/>
    <w:rsid w:val="0013332B"/>
    <w:rsid w:val="001403B0"/>
    <w:rsid w:val="001752F7"/>
    <w:rsid w:val="00197661"/>
    <w:rsid w:val="001B6C5F"/>
    <w:rsid w:val="001C535E"/>
    <w:rsid w:val="001C63BC"/>
    <w:rsid w:val="001D1B9A"/>
    <w:rsid w:val="001D1DC0"/>
    <w:rsid w:val="001D6B5F"/>
    <w:rsid w:val="001E5F73"/>
    <w:rsid w:val="001F4C24"/>
    <w:rsid w:val="0020163C"/>
    <w:rsid w:val="002036A4"/>
    <w:rsid w:val="002126BB"/>
    <w:rsid w:val="0022744D"/>
    <w:rsid w:val="00237FA2"/>
    <w:rsid w:val="00242021"/>
    <w:rsid w:val="0024551F"/>
    <w:rsid w:val="0025640F"/>
    <w:rsid w:val="00261E8B"/>
    <w:rsid w:val="00265900"/>
    <w:rsid w:val="00273120"/>
    <w:rsid w:val="002739D5"/>
    <w:rsid w:val="002745AF"/>
    <w:rsid w:val="00274EC2"/>
    <w:rsid w:val="00275CA3"/>
    <w:rsid w:val="002848BA"/>
    <w:rsid w:val="0029255E"/>
    <w:rsid w:val="002961C4"/>
    <w:rsid w:val="002A0046"/>
    <w:rsid w:val="002A21C1"/>
    <w:rsid w:val="002B2EBA"/>
    <w:rsid w:val="002B71AB"/>
    <w:rsid w:val="002F2DC0"/>
    <w:rsid w:val="002F3C2B"/>
    <w:rsid w:val="002F4C8E"/>
    <w:rsid w:val="002F4DFC"/>
    <w:rsid w:val="002F685D"/>
    <w:rsid w:val="00306612"/>
    <w:rsid w:val="00315222"/>
    <w:rsid w:val="00317C70"/>
    <w:rsid w:val="00320B77"/>
    <w:rsid w:val="00343F56"/>
    <w:rsid w:val="00344F43"/>
    <w:rsid w:val="00345BFA"/>
    <w:rsid w:val="0034689C"/>
    <w:rsid w:val="00361A80"/>
    <w:rsid w:val="0036321A"/>
    <w:rsid w:val="00364F11"/>
    <w:rsid w:val="00372147"/>
    <w:rsid w:val="003739AF"/>
    <w:rsid w:val="00386340"/>
    <w:rsid w:val="003867C0"/>
    <w:rsid w:val="00391651"/>
    <w:rsid w:val="003A5B28"/>
    <w:rsid w:val="003B0033"/>
    <w:rsid w:val="003B106E"/>
    <w:rsid w:val="003C00CF"/>
    <w:rsid w:val="003C023C"/>
    <w:rsid w:val="003C2588"/>
    <w:rsid w:val="003C2D49"/>
    <w:rsid w:val="003C4483"/>
    <w:rsid w:val="003E30E3"/>
    <w:rsid w:val="003E5286"/>
    <w:rsid w:val="003F0AD6"/>
    <w:rsid w:val="0040430D"/>
    <w:rsid w:val="0041219D"/>
    <w:rsid w:val="004238DD"/>
    <w:rsid w:val="0043493F"/>
    <w:rsid w:val="00442C1F"/>
    <w:rsid w:val="00446A55"/>
    <w:rsid w:val="00457CA2"/>
    <w:rsid w:val="00464C74"/>
    <w:rsid w:val="004829DB"/>
    <w:rsid w:val="0048347F"/>
    <w:rsid w:val="004846A6"/>
    <w:rsid w:val="00484E8B"/>
    <w:rsid w:val="0049405D"/>
    <w:rsid w:val="004A5770"/>
    <w:rsid w:val="004A712B"/>
    <w:rsid w:val="004B420A"/>
    <w:rsid w:val="004C14CE"/>
    <w:rsid w:val="004C776F"/>
    <w:rsid w:val="004F25DA"/>
    <w:rsid w:val="004F28EE"/>
    <w:rsid w:val="00503378"/>
    <w:rsid w:val="0052164C"/>
    <w:rsid w:val="00523004"/>
    <w:rsid w:val="005244E8"/>
    <w:rsid w:val="0053124F"/>
    <w:rsid w:val="0054570D"/>
    <w:rsid w:val="00554037"/>
    <w:rsid w:val="00556712"/>
    <w:rsid w:val="005648B0"/>
    <w:rsid w:val="00570EC4"/>
    <w:rsid w:val="005744FB"/>
    <w:rsid w:val="00576506"/>
    <w:rsid w:val="00591509"/>
    <w:rsid w:val="00594759"/>
    <w:rsid w:val="005949A3"/>
    <w:rsid w:val="005B2FE8"/>
    <w:rsid w:val="005C2311"/>
    <w:rsid w:val="005D1253"/>
    <w:rsid w:val="005E02E1"/>
    <w:rsid w:val="005E2706"/>
    <w:rsid w:val="005E3E0C"/>
    <w:rsid w:val="005E43CD"/>
    <w:rsid w:val="005F13B7"/>
    <w:rsid w:val="00610664"/>
    <w:rsid w:val="006129D4"/>
    <w:rsid w:val="006271AB"/>
    <w:rsid w:val="0067231A"/>
    <w:rsid w:val="0068005E"/>
    <w:rsid w:val="006854AA"/>
    <w:rsid w:val="00687B38"/>
    <w:rsid w:val="00691016"/>
    <w:rsid w:val="00693CBD"/>
    <w:rsid w:val="006A1BBB"/>
    <w:rsid w:val="006A7642"/>
    <w:rsid w:val="006B7012"/>
    <w:rsid w:val="006C16F3"/>
    <w:rsid w:val="006E0F78"/>
    <w:rsid w:val="0070114B"/>
    <w:rsid w:val="00703DF1"/>
    <w:rsid w:val="00721664"/>
    <w:rsid w:val="007217A1"/>
    <w:rsid w:val="007227ED"/>
    <w:rsid w:val="00722B83"/>
    <w:rsid w:val="00731FA1"/>
    <w:rsid w:val="00741096"/>
    <w:rsid w:val="007416CC"/>
    <w:rsid w:val="00762978"/>
    <w:rsid w:val="00766D60"/>
    <w:rsid w:val="00774A01"/>
    <w:rsid w:val="0077778B"/>
    <w:rsid w:val="00783918"/>
    <w:rsid w:val="007A1DD1"/>
    <w:rsid w:val="007B1BA1"/>
    <w:rsid w:val="007D153E"/>
    <w:rsid w:val="007D2787"/>
    <w:rsid w:val="007E5150"/>
    <w:rsid w:val="007E79F0"/>
    <w:rsid w:val="007F0572"/>
    <w:rsid w:val="007F1715"/>
    <w:rsid w:val="00805C91"/>
    <w:rsid w:val="008157FC"/>
    <w:rsid w:val="00820DC9"/>
    <w:rsid w:val="008222EB"/>
    <w:rsid w:val="008259AA"/>
    <w:rsid w:val="0083749E"/>
    <w:rsid w:val="00857333"/>
    <w:rsid w:val="00894535"/>
    <w:rsid w:val="008A4763"/>
    <w:rsid w:val="008B73F1"/>
    <w:rsid w:val="008C6348"/>
    <w:rsid w:val="008D1EEF"/>
    <w:rsid w:val="008E2A68"/>
    <w:rsid w:val="008E3CFA"/>
    <w:rsid w:val="008E5D66"/>
    <w:rsid w:val="008F136C"/>
    <w:rsid w:val="009030FD"/>
    <w:rsid w:val="009040C6"/>
    <w:rsid w:val="009201C8"/>
    <w:rsid w:val="00923379"/>
    <w:rsid w:val="00934404"/>
    <w:rsid w:val="0094082D"/>
    <w:rsid w:val="009626DB"/>
    <w:rsid w:val="0097539D"/>
    <w:rsid w:val="00986EE4"/>
    <w:rsid w:val="00997AFE"/>
    <w:rsid w:val="009D29BE"/>
    <w:rsid w:val="00A06441"/>
    <w:rsid w:val="00A066F4"/>
    <w:rsid w:val="00A13F5B"/>
    <w:rsid w:val="00A15D45"/>
    <w:rsid w:val="00A22F50"/>
    <w:rsid w:val="00A41FF4"/>
    <w:rsid w:val="00A4549E"/>
    <w:rsid w:val="00A47C29"/>
    <w:rsid w:val="00A56280"/>
    <w:rsid w:val="00A56769"/>
    <w:rsid w:val="00A80B2A"/>
    <w:rsid w:val="00A9774B"/>
    <w:rsid w:val="00AB048B"/>
    <w:rsid w:val="00AB5CC4"/>
    <w:rsid w:val="00AC3CD6"/>
    <w:rsid w:val="00AC5035"/>
    <w:rsid w:val="00AD075B"/>
    <w:rsid w:val="00AD357A"/>
    <w:rsid w:val="00AD4A30"/>
    <w:rsid w:val="00AF7295"/>
    <w:rsid w:val="00B20448"/>
    <w:rsid w:val="00B2167C"/>
    <w:rsid w:val="00B26BAA"/>
    <w:rsid w:val="00B36E3B"/>
    <w:rsid w:val="00B42DE9"/>
    <w:rsid w:val="00B602DB"/>
    <w:rsid w:val="00B62574"/>
    <w:rsid w:val="00B63C6E"/>
    <w:rsid w:val="00B67960"/>
    <w:rsid w:val="00B73294"/>
    <w:rsid w:val="00BA53A6"/>
    <w:rsid w:val="00BB6CE9"/>
    <w:rsid w:val="00BE0039"/>
    <w:rsid w:val="00BE200D"/>
    <w:rsid w:val="00BE2FCC"/>
    <w:rsid w:val="00BF2714"/>
    <w:rsid w:val="00C04A4C"/>
    <w:rsid w:val="00C17676"/>
    <w:rsid w:val="00C2011F"/>
    <w:rsid w:val="00C20915"/>
    <w:rsid w:val="00C30553"/>
    <w:rsid w:val="00C4176B"/>
    <w:rsid w:val="00C47379"/>
    <w:rsid w:val="00C60074"/>
    <w:rsid w:val="00C67C5D"/>
    <w:rsid w:val="00C7370A"/>
    <w:rsid w:val="00C80F8F"/>
    <w:rsid w:val="00C9344D"/>
    <w:rsid w:val="00CA1648"/>
    <w:rsid w:val="00CA2349"/>
    <w:rsid w:val="00CA43A4"/>
    <w:rsid w:val="00CB0756"/>
    <w:rsid w:val="00CD10D3"/>
    <w:rsid w:val="00CE28B2"/>
    <w:rsid w:val="00D042CA"/>
    <w:rsid w:val="00D14C84"/>
    <w:rsid w:val="00D3011A"/>
    <w:rsid w:val="00D324D7"/>
    <w:rsid w:val="00D420C2"/>
    <w:rsid w:val="00D43AE8"/>
    <w:rsid w:val="00D46717"/>
    <w:rsid w:val="00D56F13"/>
    <w:rsid w:val="00D7503A"/>
    <w:rsid w:val="00D809C4"/>
    <w:rsid w:val="00DB2AE2"/>
    <w:rsid w:val="00DB7257"/>
    <w:rsid w:val="00DE5723"/>
    <w:rsid w:val="00DE7A10"/>
    <w:rsid w:val="00DF21C6"/>
    <w:rsid w:val="00E16178"/>
    <w:rsid w:val="00E204DE"/>
    <w:rsid w:val="00E323C4"/>
    <w:rsid w:val="00E356E3"/>
    <w:rsid w:val="00E45F9A"/>
    <w:rsid w:val="00E644B9"/>
    <w:rsid w:val="00E82C49"/>
    <w:rsid w:val="00E83174"/>
    <w:rsid w:val="00E833CD"/>
    <w:rsid w:val="00E917FB"/>
    <w:rsid w:val="00EA3209"/>
    <w:rsid w:val="00EA648A"/>
    <w:rsid w:val="00EC0ECF"/>
    <w:rsid w:val="00EE1204"/>
    <w:rsid w:val="00EE68FF"/>
    <w:rsid w:val="00F00843"/>
    <w:rsid w:val="00F15134"/>
    <w:rsid w:val="00F23C22"/>
    <w:rsid w:val="00F250C9"/>
    <w:rsid w:val="00F25396"/>
    <w:rsid w:val="00F3585A"/>
    <w:rsid w:val="00F43BC5"/>
    <w:rsid w:val="00F47665"/>
    <w:rsid w:val="00F55FA9"/>
    <w:rsid w:val="00F65CB7"/>
    <w:rsid w:val="00F838D2"/>
    <w:rsid w:val="00F83B72"/>
    <w:rsid w:val="00F95C9A"/>
    <w:rsid w:val="00FA3082"/>
    <w:rsid w:val="00FA6097"/>
    <w:rsid w:val="00FC2411"/>
    <w:rsid w:val="00FC5960"/>
    <w:rsid w:val="00FE1CF3"/>
    <w:rsid w:val="00FF2A5C"/>
    <w:rsid w:val="218B56C6"/>
    <w:rsid w:val="4D4A10C1"/>
    <w:rsid w:val="6BCF11FC"/>
    <w:rsid w:val="74790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00" w:lineRule="auto"/>
      <w:ind w:firstLine="618"/>
      <w:jc w:val="both"/>
    </w:pPr>
    <w:rPr>
      <w:rFonts w:ascii="Times New Roman" w:hAnsi="Times New Roman" w:eastAsia="仿宋_GB2312" w:cs="Times New Roman"/>
      <w:kern w:val="2"/>
      <w:sz w:val="30"/>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semiHidden/>
    <w:unhideWhenUsed/>
    <w:qFormat/>
    <w:uiPriority w:val="99"/>
    <w:pPr>
      <w:spacing w:after="120"/>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2"/>
    <w:semiHidden/>
    <w:unhideWhenUsed/>
    <w:qFormat/>
    <w:uiPriority w:val="99"/>
    <w:pPr>
      <w:spacing w:line="240" w:lineRule="auto"/>
    </w:pPr>
    <w:rPr>
      <w:sz w:val="18"/>
      <w:szCs w:val="18"/>
    </w:rPr>
  </w:style>
  <w:style w:type="paragraph" w:styleId="5">
    <w:name w:val="footer"/>
    <w:basedOn w:val="1"/>
    <w:link w:val="14"/>
    <w:unhideWhenUsed/>
    <w:qFormat/>
    <w:uiPriority w:val="99"/>
    <w:pPr>
      <w:tabs>
        <w:tab w:val="center" w:pos="4153"/>
        <w:tab w:val="right" w:pos="8306"/>
      </w:tabs>
      <w:spacing w:line="240" w:lineRule="auto"/>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pacing w:line="240" w:lineRule="auto"/>
      <w:jc w:val="center"/>
    </w:pPr>
    <w:rPr>
      <w:sz w:val="18"/>
      <w:szCs w:val="18"/>
    </w:rPr>
  </w:style>
  <w:style w:type="paragraph" w:styleId="7">
    <w:name w:val="Normal (Web)"/>
    <w:basedOn w:val="1"/>
    <w:qFormat/>
    <w:uiPriority w:val="0"/>
    <w:pPr>
      <w:widowControl/>
      <w:adjustRightInd/>
      <w:snapToGrid/>
      <w:spacing w:before="100" w:beforeAutospacing="1" w:after="100" w:afterAutospacing="1" w:line="240" w:lineRule="auto"/>
      <w:ind w:firstLine="0"/>
      <w:jc w:val="left"/>
    </w:pPr>
    <w:rPr>
      <w:rFonts w:ascii="宋体" w:hAnsi="宋体" w:eastAsia="宋体" w:cs="宋体"/>
      <w:kern w:val="0"/>
      <w:sz w:val="24"/>
      <w:szCs w:val="24"/>
    </w:rPr>
  </w:style>
  <w:style w:type="table" w:styleId="9">
    <w:name w:val="Table Grid"/>
    <w:basedOn w:val="8"/>
    <w:qFormat/>
    <w:uiPriority w:val="39"/>
    <w:rPr>
      <w:rFonts w:asci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批注框文本 Char"/>
    <w:basedOn w:val="10"/>
    <w:link w:val="4"/>
    <w:semiHidden/>
    <w:qFormat/>
    <w:uiPriority w:val="99"/>
    <w:rPr>
      <w:rFonts w:ascii="Times New Roman"/>
      <w:sz w:val="18"/>
      <w:szCs w:val="18"/>
    </w:rPr>
  </w:style>
  <w:style w:type="character" w:customStyle="1" w:styleId="13">
    <w:name w:val="页眉 Char"/>
    <w:basedOn w:val="10"/>
    <w:link w:val="6"/>
    <w:qFormat/>
    <w:uiPriority w:val="99"/>
    <w:rPr>
      <w:rFonts w:ascii="Times New Roman"/>
      <w:sz w:val="18"/>
      <w:szCs w:val="18"/>
    </w:rPr>
  </w:style>
  <w:style w:type="character" w:customStyle="1" w:styleId="14">
    <w:name w:val="页脚 Char"/>
    <w:basedOn w:val="10"/>
    <w:link w:val="5"/>
    <w:qFormat/>
    <w:uiPriority w:val="99"/>
    <w:rPr>
      <w:rFonts w:ascii="Times New Roman"/>
      <w:sz w:val="18"/>
      <w:szCs w:val="18"/>
    </w:rPr>
  </w:style>
  <w:style w:type="paragraph" w:styleId="15">
    <w:name w:val="List Paragraph"/>
    <w:basedOn w:val="1"/>
    <w:qFormat/>
    <w:uiPriority w:val="34"/>
    <w:pPr>
      <w:ind w:firstLine="420" w:firstLineChars="200"/>
    </w:pPr>
  </w:style>
  <w:style w:type="character" w:customStyle="1" w:styleId="16">
    <w:name w:val="日期 Char"/>
    <w:basedOn w:val="10"/>
    <w:link w:val="3"/>
    <w:semiHidden/>
    <w:qFormat/>
    <w:uiPriority w:val="99"/>
    <w:rPr>
      <w:rFonts w:ascii="Times New Roman"/>
      <w:sz w:val="30"/>
      <w:szCs w:val="20"/>
    </w:rPr>
  </w:style>
  <w:style w:type="character" w:customStyle="1" w:styleId="17">
    <w:name w:val="正文文本 Char"/>
    <w:basedOn w:val="10"/>
    <w:link w:val="2"/>
    <w:semiHidden/>
    <w:qFormat/>
    <w:uiPriority w:val="99"/>
    <w:rPr>
      <w:rFonts w:ascii="Times New Roman"/>
      <w:sz w:val="30"/>
      <w:szCs w:val="20"/>
    </w:rPr>
  </w:style>
  <w:style w:type="paragraph" w:customStyle="1" w:styleId="18">
    <w:name w:val="正文 A"/>
    <w:qFormat/>
    <w:uiPriority w:val="0"/>
    <w:pPr>
      <w:widowControl w:val="0"/>
      <w:spacing w:line="300" w:lineRule="auto"/>
      <w:ind w:firstLine="618"/>
      <w:jc w:val="both"/>
    </w:pPr>
    <w:rPr>
      <w:rFonts w:ascii="Times New Roman" w:hAnsi="Times New Roman" w:eastAsia="Arial Unicode MS" w:cs="Arial Unicode MS"/>
      <w:color w:val="000000"/>
      <w:kern w:val="2"/>
      <w:sz w:val="30"/>
      <w:szCs w:val="30"/>
      <w:u w:color="000000"/>
      <w:lang w:val="en-US" w:eastAsia="zh-CN" w:bidi="ar-SA"/>
    </w:rPr>
  </w:style>
  <w:style w:type="table" w:customStyle="1" w:styleId="19">
    <w:name w:val="Table Normal"/>
    <w:qFormat/>
    <w:uiPriority w:val="0"/>
    <w:rPr>
      <w:rFonts w:ascii="Times New Roman" w:eastAsia="宋体"/>
    </w:rPr>
    <w:tblPr>
      <w:tblCellMar>
        <w:top w:w="0" w:type="dxa"/>
        <w:left w:w="0" w:type="dxa"/>
        <w:bottom w:w="0" w:type="dxa"/>
        <w:right w:w="0" w:type="dxa"/>
      </w:tblCellMar>
    </w:tblPr>
  </w:style>
  <w:style w:type="table" w:customStyle="1" w:styleId="20">
    <w:name w:val="Table Normal1"/>
    <w:qFormat/>
    <w:uiPriority w:val="0"/>
    <w:rPr>
      <w:rFonts w:ascii="Times New Roman" w:eastAsia="宋体"/>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958A5-6312-4D9F-9B32-DAC5EAC9A104}">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9</Pages>
  <Words>4123</Words>
  <Characters>4154</Characters>
  <Lines>30</Lines>
  <Paragraphs>8</Paragraphs>
  <TotalTime>2</TotalTime>
  <ScaleCrop>false</ScaleCrop>
  <LinksUpToDate>false</LinksUpToDate>
  <CharactersWithSpaces>4154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2020-09-26T02:24:00Z</dcterms:created>
  <dc:creator>user</dc:creator>
  <cp:lastModifiedBy>李春燕</cp:lastModifiedBy>
  <cp:lastPrinted>2020-09-16T01:36:00Z</cp:lastPrinted>
  <dcterms:modified xsi:type="dcterms:W3CDTF">2023-02-08T07:36:17Z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BCE96229456E41C68DF80C8A100309F5</vt:lpwstr>
  </property>
</Properties>
</file>